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GB"/>
        </w:rPr>
      </w:pPr>
      <w:bookmarkStart w:id="0" w:name="_Hlk492880189"/>
      <w:r w:rsidRPr="00D504B6">
        <w:rPr>
          <w:rFonts w:ascii="Times New Roman" w:hAnsi="Times New Roman" w:cs="Times New Roman"/>
          <w:b/>
          <w:sz w:val="24"/>
          <w:szCs w:val="20"/>
        </w:rPr>
        <w:t>EXAMINATION RULES FOR THE MAIN CONFORMATION SHOW OF GERMAN SHEPARDS OF CROATIA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1.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Purebred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FCI pedigree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more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four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old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take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part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Croatian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citizens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: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co-owners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holders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guides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members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HKS (CKC – Croatian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Kennel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Club).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breeders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transfer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ownership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under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current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CKC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issued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pedegree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certificate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HKS (CKC – Croatian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Kennel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Club)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prove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validation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process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receipt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form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date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before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event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held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).</w:t>
      </w:r>
    </w:p>
    <w:p w:rsidR="00D504B6" w:rsidRPr="00D504B6" w:rsidRDefault="00D504B6" w:rsidP="00D504B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D504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Foreign</w:t>
      </w:r>
      <w:proofErr w:type="spellEnd"/>
      <w:r w:rsidRPr="00D504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D504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Citizens</w:t>
      </w:r>
      <w:proofErr w:type="spellEnd"/>
      <w:r w:rsidRPr="00D504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:</w:t>
      </w:r>
    </w:p>
    <w:p w:rsidR="00D504B6" w:rsidRPr="00D504B6" w:rsidRDefault="00D504B6" w:rsidP="00D504B6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As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co-owners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enrolled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pedigree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register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prove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ownership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transfer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process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HKS (CKC – Croatian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Kennel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Club). All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submit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pedigree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certificate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upon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inspection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organiser's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request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All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comply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abide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ratings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titles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placements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scores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declared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invalid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publicly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announced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newsletters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accordance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provisions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CKC Show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Regulations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each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registered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published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catalog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obliged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event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three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after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date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Otherwise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ZUUNJUH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CKC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registration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certificate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breeding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reviews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titles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etc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services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suspended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until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debt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settled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violation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decision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disciplinary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board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final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All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required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documentation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guide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request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organizer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appeals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committee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ZUUNJOH's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chief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executive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officer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president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original.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Copies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documents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emails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other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unrealistic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evidence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rejected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considered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legitimate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2.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valid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pedigree,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aggressive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vaccinated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against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rabies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castrated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excluded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show. </w:t>
      </w:r>
    </w:p>
    <w:p w:rsidR="00D504B6" w:rsidRPr="00D504B6" w:rsidRDefault="00D504B6" w:rsidP="00D504B6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3.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Exhibitor's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Responsibilities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- 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responsible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damage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caused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only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allowed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out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during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payment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200kn per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payable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ZUUNJOH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three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after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latest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bookmarkEnd w:id="0"/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leaving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time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assessment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without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payment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deposit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given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deadline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face 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disciplinary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action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suspension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seezing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CKC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litter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reporting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breeding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reviews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acquired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titles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ratings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placements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until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debt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settled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4.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Competition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classes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: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Baby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puppy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4-6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Junior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puppy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6 to 9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Senior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puppy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9 - 12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Junior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12-18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Intermediate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18-24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compulsory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enrollment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HD, ED, DNA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Gpr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)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24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required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for HD, ED, DNA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Gpr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)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lastRenderedPageBreak/>
        <w:t xml:space="preserve">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aged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18 to 24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exhibited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results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HD, ED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DNA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Gpr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  <w:r w:rsidR="006E0034">
        <w:rPr>
          <w:rFonts w:ascii="Times New Roman" w:hAnsi="Times New Roman" w:cs="Times New Roman"/>
          <w:sz w:val="24"/>
          <w:szCs w:val="20"/>
        </w:rPr>
        <w:t>(</w:t>
      </w:r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confirmed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SV</w:t>
      </w:r>
      <w:r w:rsidR="006E0034">
        <w:rPr>
          <w:rFonts w:ascii="Times New Roman" w:hAnsi="Times New Roman" w:cs="Times New Roman"/>
          <w:sz w:val="24"/>
          <w:szCs w:val="20"/>
        </w:rPr>
        <w:t xml:space="preserve"> *)</w:t>
      </w:r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pedigree,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without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cannot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exhibited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aged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18 to 24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exhibited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results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HD, ED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DNA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Gpr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SV</w:t>
      </w:r>
      <w:r w:rsidR="006E0034">
        <w:rPr>
          <w:rFonts w:ascii="Times New Roman" w:hAnsi="Times New Roman" w:cs="Times New Roman"/>
          <w:sz w:val="24"/>
          <w:szCs w:val="20"/>
        </w:rPr>
        <w:t xml:space="preserve"> *</w:t>
      </w:r>
      <w:r w:rsidRPr="00D504B6">
        <w:rPr>
          <w:rFonts w:ascii="Times New Roman" w:hAnsi="Times New Roman" w:cs="Times New Roman"/>
          <w:sz w:val="24"/>
          <w:szCs w:val="20"/>
        </w:rPr>
        <w:t xml:space="preserve">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HD, ED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read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F.C.I.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D.Gpr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veterinary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institutions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),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pedigree,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without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cannot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exhibited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6E0034" w:rsidRDefault="006E0034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E0034" w:rsidRPr="006E0034" w:rsidRDefault="006E0034" w:rsidP="006E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E0034">
        <w:rPr>
          <w:rFonts w:ascii="Times New Roman" w:eastAsia="Times New Roman" w:hAnsi="Times New Roman" w:cs="Times New Roman"/>
          <w:sz w:val="24"/>
          <w:szCs w:val="24"/>
          <w:u w:val="single"/>
          <w:lang w:val="en" w:eastAsia="hr-HR"/>
        </w:rPr>
        <w:t>--- In 18-24 male and female varieties of long hair lies HD, ED and DNA are not mandatory</w:t>
      </w:r>
    </w:p>
    <w:p w:rsidR="006E0034" w:rsidRPr="00D504B6" w:rsidRDefault="006E0034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24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older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certificate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which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shown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In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exhibited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results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HD, ED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DNA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Gpr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r w:rsidR="006E0034">
        <w:rPr>
          <w:rFonts w:ascii="Times New Roman" w:hAnsi="Times New Roman" w:cs="Times New Roman"/>
          <w:sz w:val="24"/>
          <w:szCs w:val="20"/>
        </w:rPr>
        <w:t>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confirmed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SV</w:t>
      </w:r>
      <w:r w:rsidR="006E0034">
        <w:rPr>
          <w:rFonts w:ascii="Times New Roman" w:hAnsi="Times New Roman" w:cs="Times New Roman"/>
          <w:sz w:val="24"/>
          <w:szCs w:val="20"/>
        </w:rPr>
        <w:t xml:space="preserve"> *)</w:t>
      </w:r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pedigree,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without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cannot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exhibited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In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exhibited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results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HD, ED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DNA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Gpr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SV</w:t>
      </w:r>
      <w:r w:rsidR="006E0034">
        <w:rPr>
          <w:rFonts w:ascii="Times New Roman" w:hAnsi="Times New Roman" w:cs="Times New Roman"/>
          <w:sz w:val="24"/>
          <w:szCs w:val="20"/>
        </w:rPr>
        <w:t xml:space="preserve"> *</w:t>
      </w:r>
      <w:r w:rsidRPr="00D504B6">
        <w:rPr>
          <w:rFonts w:ascii="Times New Roman" w:hAnsi="Times New Roman" w:cs="Times New Roman"/>
          <w:sz w:val="24"/>
          <w:szCs w:val="20"/>
        </w:rPr>
        <w:t xml:space="preserve">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HD, ED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read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F.C.I.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D.Gpr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veterinary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institutions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),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pedigree,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without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cannot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exhibited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subject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scrutiny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courage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combat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6E0034" w:rsidRDefault="006E0034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6E0034" w:rsidRPr="006E0034" w:rsidRDefault="006E0034" w:rsidP="006E0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6E0034">
        <w:rPr>
          <w:rFonts w:ascii="Times New Roman" w:eastAsia="Times New Roman" w:hAnsi="Times New Roman" w:cs="Times New Roman"/>
          <w:sz w:val="24"/>
          <w:szCs w:val="24"/>
          <w:u w:val="single"/>
          <w:lang w:val="en" w:eastAsia="hr-HR"/>
        </w:rPr>
        <w:t>* The findings from other countries from institutions listed in SV are taken under the following link:</w:t>
      </w:r>
      <w:bookmarkStart w:id="1" w:name="_GoBack"/>
      <w:bookmarkEnd w:id="1"/>
    </w:p>
    <w:p w:rsidR="006E0034" w:rsidRPr="00D504B6" w:rsidRDefault="006E0034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:rsidR="006E0034" w:rsidRPr="000F1042" w:rsidRDefault="006E0034" w:rsidP="006E0034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hyperlink r:id="rId5" w:anchor="verzeichnisse-panel" w:history="1">
        <w:r w:rsidRPr="000F1042">
          <w:rPr>
            <w:rStyle w:val="Hiperveza"/>
            <w:rFonts w:ascii="Tahoma" w:hAnsi="Tahoma" w:cs="Tahoma"/>
            <w:b/>
            <w:bCs/>
            <w:sz w:val="17"/>
            <w:szCs w:val="17"/>
          </w:rPr>
          <w:t>https://www.schaeferhunde.de/service/formulare-info-broschueren-verzeichnisse/verzeichnisse/#verzeichnisse-panel</w:t>
        </w:r>
      </w:hyperlink>
    </w:p>
    <w:p w:rsidR="006E0034" w:rsidRPr="000F1042" w:rsidRDefault="006E0034" w:rsidP="006E0034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</w:p>
    <w:p w:rsidR="006E0034" w:rsidRDefault="006E0034" w:rsidP="006E0034">
      <w:pPr>
        <w:pStyle w:val="StandardWeb"/>
        <w:spacing w:before="0" w:beforeAutospacing="0" w:after="0" w:afterAutospacing="0" w:line="210" w:lineRule="atLeast"/>
        <w:rPr>
          <w:rFonts w:ascii="Tahoma" w:eastAsia="Calibri" w:hAnsi="Tahoma" w:cs="Tahoma"/>
          <w:sz w:val="18"/>
          <w:szCs w:val="18"/>
          <w:lang w:eastAsia="en-US"/>
        </w:rPr>
      </w:pPr>
      <w:hyperlink r:id="rId6" w:tgtFrame="_blank" w:history="1">
        <w:proofErr w:type="spellStart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Verzeichnis</w:t>
        </w:r>
        <w:proofErr w:type="spellEnd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 xml:space="preserve"> </w:t>
        </w:r>
        <w:proofErr w:type="spellStart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der</w:t>
        </w:r>
        <w:proofErr w:type="spellEnd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 xml:space="preserve"> </w:t>
        </w:r>
        <w:proofErr w:type="spellStart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anerkannten</w:t>
        </w:r>
        <w:proofErr w:type="spellEnd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 xml:space="preserve"> HD-/ED-</w:t>
        </w:r>
        <w:proofErr w:type="spellStart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Befunde</w:t>
        </w:r>
        <w:proofErr w:type="spellEnd"/>
      </w:hyperlink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5.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Performance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Test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a)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starting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place,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which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40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steps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away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first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blind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judge’s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signal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start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walking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leash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heel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for 20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steps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stops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puts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sitting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position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removes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leash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continues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towards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shelter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for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further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20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steps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leash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visible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allowed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hold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collar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5-10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steps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away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shelter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“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attacked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”.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time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“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attack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”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without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hesitation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should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attack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attacker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latching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bite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protective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sleeve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During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fight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“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attacker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”,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recieve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two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blows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soft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baton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but must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release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grip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sleeve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stays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place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free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encourage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sign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“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attacker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dies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”,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issues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command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: "Let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."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After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released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sleeve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approaches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takes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hold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dog’s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collar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“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attacker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”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away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takes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starting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place 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second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part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Performance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Test.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>b)</w:t>
      </w:r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second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blind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about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50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steps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away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helpers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emerge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head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towards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threatening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voice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baton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judge’s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signal,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guide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leaves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stays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place.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needs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latch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onto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bite-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protective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sleeve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helpr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dies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judge’s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signal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guide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issues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command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: "Let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."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judge’s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signal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moves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towoards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puts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leash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takes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away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lastRenderedPageBreak/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let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bite-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protection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sleeve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command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"Let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",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repeats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command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two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more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times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judge’s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signal,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after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which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he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approaches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takes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him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bite-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protection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sleeve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did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let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bite-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protection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sleeve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handler's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command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check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rating "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letting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"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however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cannot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get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rating "V-A", but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only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"V" as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excellent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grades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during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evaluation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: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</w:t>
      </w:r>
      <w:proofErr w:type="spellEnd"/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let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</w:t>
      </w:r>
      <w:proofErr w:type="spellEnd"/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upon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assessment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request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Complaints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Commission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allow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repetition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review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once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more.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gets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"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" grade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Performace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test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cannot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get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grade rating.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After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Performance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Test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exit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a tattoo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chip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identification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checked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organizer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prepare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lists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Performance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Test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name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name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as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well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as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tattoo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chip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6.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Ratings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titles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placements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4 - 6, 6 - 9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9 - 12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evaluation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done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descriptive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grade:  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very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perspective</w:t>
      </w:r>
      <w:proofErr w:type="spellEnd"/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perspective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satisfactory</w:t>
      </w:r>
      <w:proofErr w:type="spellEnd"/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unsatisfactory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12 – 18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grades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marked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as:</w:t>
      </w:r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very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good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good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satisfactory</w:t>
      </w:r>
      <w:proofErr w:type="spellEnd"/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unsatisfactory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18 to 24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months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grades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marked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as: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very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good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good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satisfactory</w:t>
      </w:r>
      <w:proofErr w:type="spellEnd"/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unsatisfactory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D504B6">
        <w:rPr>
          <w:rFonts w:ascii="Times New Roman" w:hAnsi="Times New Roman" w:cs="Times New Roman"/>
          <w:b/>
          <w:sz w:val="24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</w:rPr>
        <w:t>grades</w:t>
      </w:r>
      <w:proofErr w:type="spellEnd"/>
      <w:r w:rsidRPr="00D504B6">
        <w:rPr>
          <w:rFonts w:ascii="Times New Roman" w:hAnsi="Times New Roman" w:cs="Times New Roman"/>
          <w:b/>
          <w:sz w:val="24"/>
        </w:rPr>
        <w:t xml:space="preserve"> for </w:t>
      </w:r>
      <w:proofErr w:type="spellStart"/>
      <w:r w:rsidRPr="00D504B6">
        <w:rPr>
          <w:rFonts w:ascii="Times New Roman" w:hAnsi="Times New Roman" w:cs="Times New Roman"/>
          <w:b/>
          <w:sz w:val="24"/>
        </w:rPr>
        <w:t>Working</w:t>
      </w:r>
      <w:proofErr w:type="spellEnd"/>
      <w:r w:rsidRPr="00D504B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</w:rPr>
        <w:t>class</w:t>
      </w:r>
      <w:proofErr w:type="spellEnd"/>
      <w:r w:rsidRPr="00D504B6">
        <w:rPr>
          <w:rFonts w:ascii="Times New Roman" w:hAnsi="Times New Roman" w:cs="Times New Roman"/>
          <w:b/>
          <w:sz w:val="24"/>
        </w:rPr>
        <w:t xml:space="preserve"> </w:t>
      </w:r>
      <w:r w:rsidRPr="00D504B6">
        <w:rPr>
          <w:rFonts w:ascii="Times New Roman" w:hAnsi="Times New Roman" w:cs="Times New Roman"/>
          <w:b/>
          <w:sz w:val="24"/>
          <w:szCs w:val="20"/>
        </w:rPr>
        <w:t xml:space="preserve">are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marked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as: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very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good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good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satisfactory</w:t>
      </w:r>
      <w:proofErr w:type="spellEnd"/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unsatisfactory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, for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dogs</w:t>
      </w:r>
      <w:proofErr w:type="spellEnd"/>
      <w:r w:rsidR="00383A09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83A09">
        <w:rPr>
          <w:rFonts w:ascii="Times New Roman" w:hAnsi="Times New Roman" w:cs="Times New Roman"/>
          <w:b/>
          <w:sz w:val="24"/>
          <w:szCs w:val="20"/>
        </w:rPr>
        <w:t>males</w:t>
      </w:r>
      <w:proofErr w:type="spellEnd"/>
      <w:r w:rsidR="00383A09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83A09">
        <w:rPr>
          <w:rFonts w:ascii="Times New Roman" w:hAnsi="Times New Roman" w:cs="Times New Roman"/>
          <w:b/>
          <w:sz w:val="24"/>
          <w:szCs w:val="20"/>
        </w:rPr>
        <w:t>and</w:t>
      </w:r>
      <w:proofErr w:type="spellEnd"/>
      <w:r w:rsidR="00383A09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="00383A09">
        <w:rPr>
          <w:rFonts w:ascii="Times New Roman" w:hAnsi="Times New Roman" w:cs="Times New Roman"/>
          <w:b/>
          <w:sz w:val="24"/>
          <w:szCs w:val="20"/>
        </w:rPr>
        <w:t>females</w:t>
      </w:r>
      <w:proofErr w:type="spellEnd"/>
      <w:r w:rsidR="00383A0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are 3.5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years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older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but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without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passed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Style w:val="Istaknuto"/>
          <w:rFonts w:ascii="Times New Roman" w:hAnsi="Times New Roman" w:cs="Times New Roman"/>
          <w:b/>
          <w:i w:val="0"/>
          <w:sz w:val="24"/>
        </w:rPr>
        <w:t>Körung</w:t>
      </w:r>
      <w:proofErr w:type="spellEnd"/>
      <w:r w:rsidR="00383A09">
        <w:rPr>
          <w:rStyle w:val="Istaknuto"/>
          <w:rFonts w:ascii="Times New Roman" w:hAnsi="Times New Roman" w:cs="Times New Roman"/>
          <w:b/>
          <w:i w:val="0"/>
          <w:sz w:val="24"/>
        </w:rPr>
        <w:t xml:space="preserve"> ( SV </w:t>
      </w:r>
      <w:proofErr w:type="spellStart"/>
      <w:r w:rsidR="00383A09">
        <w:rPr>
          <w:rStyle w:val="Istaknuto"/>
          <w:rFonts w:ascii="Times New Roman" w:hAnsi="Times New Roman" w:cs="Times New Roman"/>
          <w:b/>
          <w:i w:val="0"/>
          <w:sz w:val="24"/>
        </w:rPr>
        <w:t>blue</w:t>
      </w:r>
      <w:proofErr w:type="spellEnd"/>
      <w:r w:rsidR="00383A09">
        <w:rPr>
          <w:rStyle w:val="Istaknuto"/>
          <w:rFonts w:ascii="Times New Roman" w:hAnsi="Times New Roman" w:cs="Times New Roman"/>
          <w:b/>
          <w:i w:val="0"/>
          <w:sz w:val="24"/>
        </w:rPr>
        <w:t xml:space="preserve"> </w:t>
      </w:r>
      <w:proofErr w:type="spellStart"/>
      <w:r w:rsidR="00383A09">
        <w:rPr>
          <w:rStyle w:val="Istaknuto"/>
          <w:rFonts w:ascii="Times New Roman" w:hAnsi="Times New Roman" w:cs="Times New Roman"/>
          <w:b/>
          <w:i w:val="0"/>
          <w:sz w:val="24"/>
        </w:rPr>
        <w:t>form</w:t>
      </w:r>
      <w:proofErr w:type="spellEnd"/>
      <w:r w:rsidR="00383A09">
        <w:rPr>
          <w:rStyle w:val="Istaknuto"/>
          <w:rFonts w:ascii="Times New Roman" w:hAnsi="Times New Roman" w:cs="Times New Roman"/>
          <w:b/>
          <w:i w:val="0"/>
          <w:sz w:val="24"/>
        </w:rPr>
        <w:t xml:space="preserve"> ) </w:t>
      </w:r>
      <w:r w:rsidRPr="00D504B6">
        <w:rPr>
          <w:rStyle w:val="Istaknuto"/>
          <w:rFonts w:ascii="Times New Roman" w:hAnsi="Times New Roman" w:cs="Times New Roman"/>
          <w:b/>
          <w:i w:val="0"/>
          <w:sz w:val="24"/>
        </w:rPr>
        <w:t>,</w:t>
      </w:r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highest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grade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very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good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represents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order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alongside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grades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Depending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quality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brought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choose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highly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individuals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Excellent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Select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(V - A).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For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Excellent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-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Select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(V - A)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following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can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compete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: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lastRenderedPageBreak/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ones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passed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Style w:val="Istaknuto"/>
          <w:rFonts w:ascii="Times New Roman" w:hAnsi="Times New Roman" w:cs="Times New Roman"/>
          <w:i w:val="0"/>
          <w:sz w:val="24"/>
        </w:rPr>
        <w:t>Körung</w:t>
      </w:r>
      <w:proofErr w:type="spellEnd"/>
      <w:r w:rsidR="00383A09">
        <w:rPr>
          <w:rStyle w:val="Istaknuto"/>
          <w:rFonts w:ascii="Times New Roman" w:hAnsi="Times New Roman" w:cs="Times New Roman"/>
          <w:i w:val="0"/>
          <w:sz w:val="24"/>
        </w:rPr>
        <w:t xml:space="preserve"> ( </w:t>
      </w:r>
      <w:proofErr w:type="spellStart"/>
      <w:r w:rsidR="00383A09">
        <w:rPr>
          <w:rStyle w:val="Istaknuto"/>
          <w:rFonts w:ascii="Times New Roman" w:hAnsi="Times New Roman" w:cs="Times New Roman"/>
          <w:i w:val="0"/>
          <w:sz w:val="24"/>
        </w:rPr>
        <w:t>males</w:t>
      </w:r>
      <w:proofErr w:type="spellEnd"/>
      <w:r w:rsidR="00383A09">
        <w:rPr>
          <w:rStyle w:val="Istaknuto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383A09">
        <w:rPr>
          <w:rStyle w:val="Istaknuto"/>
          <w:rFonts w:ascii="Times New Roman" w:hAnsi="Times New Roman" w:cs="Times New Roman"/>
          <w:i w:val="0"/>
          <w:sz w:val="24"/>
        </w:rPr>
        <w:t>and</w:t>
      </w:r>
      <w:proofErr w:type="spellEnd"/>
      <w:r w:rsidR="00383A09">
        <w:rPr>
          <w:rStyle w:val="Istaknuto"/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="00383A09">
        <w:rPr>
          <w:rStyle w:val="Istaknuto"/>
          <w:rFonts w:ascii="Times New Roman" w:hAnsi="Times New Roman" w:cs="Times New Roman"/>
          <w:i w:val="0"/>
          <w:sz w:val="24"/>
        </w:rPr>
        <w:t>females</w:t>
      </w:r>
      <w:proofErr w:type="spellEnd"/>
      <w:r w:rsidR="00383A09">
        <w:rPr>
          <w:rStyle w:val="Istaknuto"/>
          <w:rFonts w:ascii="Times New Roman" w:hAnsi="Times New Roman" w:cs="Times New Roman"/>
          <w:i w:val="0"/>
          <w:sz w:val="24"/>
        </w:rPr>
        <w:t xml:space="preserve"> ) </w:t>
      </w:r>
      <w:r w:rsidRPr="00D504B6">
        <w:rPr>
          <w:rStyle w:val="st"/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before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SV </w:t>
      </w:r>
      <w:proofErr w:type="spellStart"/>
      <w:r w:rsidRPr="00D504B6">
        <w:rPr>
          <w:rFonts w:ascii="Times New Roman" w:hAnsi="Times New Roman" w:cs="Times New Roman"/>
          <w:sz w:val="24"/>
          <w:szCs w:val="24"/>
        </w:rPr>
        <w:t>körmeister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which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körscheine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blue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form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),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holders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least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IPO 1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exam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holders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recorded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result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/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normal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fast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normal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verified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SV,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DNA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Gpr.confirmed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SV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into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Pedigree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complete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set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teeth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tested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Performance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test, he/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rating: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satisfied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letting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singles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Excellent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Select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tags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selected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(V - A)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(V - A1, V - A2,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etc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also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addition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excellent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marks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runner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after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selected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excellent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referred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as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excellent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(V - 1)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further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(V - 2, V - 3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etc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).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meet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criteria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set 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Excellent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-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Select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(V - A)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winner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winner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German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Shepherd's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Conformation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becomes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first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first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awarded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title "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Winner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Conformation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German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Shepherds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Croatia 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year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----.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Placements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: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judge's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decision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under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but do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pedigree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CKC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below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achieved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same rating,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regardless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quality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represents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alongside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grade. 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7.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Offsprig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: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presentation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Offspring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least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three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offsprings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one male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enrolled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catalog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registered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assessed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Presentation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male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father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mandatory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Offspring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presented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Offspring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ranked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order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Offspring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publicly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described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8.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Choosing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best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Breeding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Kennel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choice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breeding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kennel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normal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three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long-haired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single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kennel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put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forward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which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enrolled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evaluated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Each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depending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variance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hair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shown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separately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breeding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kennel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gets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title: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"Best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Breeding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Kennel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Conformation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German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Shepherds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Croatia for ________".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lastRenderedPageBreak/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kennel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applies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special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application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form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available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office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application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form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contains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names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catalog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numbers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ratings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placements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as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well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as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names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fathers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mothers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owner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responsible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for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accuracy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data.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9.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Awards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trophies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>:</w:t>
      </w:r>
      <w:r w:rsidRPr="00D504B6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trophy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sponsor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prize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given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first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every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trophy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sponsor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prize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given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(V – A)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top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excellent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ones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(V).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Special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trophy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awarded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winners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)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laurel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wreath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All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Offspring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groups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receive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trophies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trophy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given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top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ranked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Breeding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Kennels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trophy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given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Performance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Test.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joint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presentation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individuals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Croatian pedigree,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which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were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raised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according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done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round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during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final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part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event.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From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12-18,18-24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Working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class’s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best-placed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Croatian pedigree,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were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raised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final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round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Trophies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awarded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bitch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Croatian pedigree,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raised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selected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When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presenting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results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presentation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required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10.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Leaving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show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</w:rPr>
        <w:t>Dogs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can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exit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the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show </w:t>
      </w:r>
      <w:proofErr w:type="spellStart"/>
      <w:r w:rsidRPr="00D504B6">
        <w:rPr>
          <w:rFonts w:ascii="Times New Roman" w:hAnsi="Times New Roman" w:cs="Times New Roman"/>
          <w:sz w:val="24"/>
        </w:rPr>
        <w:t>only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after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all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the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results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have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been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</w:rPr>
        <w:t>announced</w:t>
      </w:r>
      <w:proofErr w:type="spellEnd"/>
      <w:r w:rsidRPr="00D504B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only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allowed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out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during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payment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200kn per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payable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ZUUNJOH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three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after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latest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0"/>
          <w:lang w:val="en-GB"/>
        </w:rPr>
      </w:pP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Any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dog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owners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leaving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show at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time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dog's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assessment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without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payment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deposit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within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given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deadline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face 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disciplinary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action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suspension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seezing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ZUUNJOH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CKC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services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(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litter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reporting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breeding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reviews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acquired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titles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ratings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placements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)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until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debt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i/>
          <w:sz w:val="24"/>
          <w:szCs w:val="20"/>
        </w:rPr>
        <w:t>settled</w:t>
      </w:r>
      <w:proofErr w:type="spellEnd"/>
      <w:r w:rsidRPr="00D504B6">
        <w:rPr>
          <w:rFonts w:ascii="Times New Roman" w:hAnsi="Times New Roman" w:cs="Times New Roman"/>
          <w:b/>
          <w:i/>
          <w:sz w:val="24"/>
          <w:szCs w:val="20"/>
        </w:rPr>
        <w:t>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11.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Complaint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Complaint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made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a negative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assessment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formal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error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judge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formal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error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trainee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formal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error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organiser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violation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presentation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complaint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should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submitted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writing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three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after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at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office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payment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500,00 kn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confirmation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payment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same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amount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ZUUNJOH.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Complaints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Commission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deal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with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immediately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case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complaint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rejected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deposit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paid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to ZUUNJOH.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Anonymous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denunciations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complaints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will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not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taken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into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account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case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positive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decision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deposit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refunded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was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promulgated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IO ZUUNJOH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declared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valid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02.01.2018. 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current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Rule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Book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has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been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declared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invalid.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D504B6">
        <w:rPr>
          <w:rFonts w:ascii="Times New Roman" w:hAnsi="Times New Roman" w:cs="Times New Roman"/>
          <w:sz w:val="24"/>
          <w:szCs w:val="20"/>
        </w:rPr>
        <w:lastRenderedPageBreak/>
        <w:t>THE PRESIDENT OF ZUUNJOH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sz w:val="24"/>
          <w:szCs w:val="20"/>
        </w:rPr>
        <w:t>Miroslav Kuzmić</w:t>
      </w:r>
    </w:p>
    <w:p w:rsid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 xml:space="preserve">ANNEX 1 to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item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8.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Breeding</w:t>
      </w:r>
      <w:proofErr w:type="spellEnd"/>
      <w:r w:rsidRPr="00D504B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b/>
          <w:sz w:val="24"/>
          <w:szCs w:val="20"/>
        </w:rPr>
        <w:t>Kennels</w:t>
      </w:r>
      <w:proofErr w:type="spellEnd"/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b/>
          <w:sz w:val="24"/>
          <w:szCs w:val="20"/>
        </w:rPr>
        <w:t>APPLICATION FORM – BREEDING KENNELS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04B6">
        <w:rPr>
          <w:rFonts w:ascii="Times New Roman" w:hAnsi="Times New Roman" w:cs="Times New Roman"/>
          <w:sz w:val="24"/>
          <w:szCs w:val="24"/>
        </w:rPr>
        <w:t>OWNER:_______________________________________________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4B6">
        <w:rPr>
          <w:rFonts w:ascii="Times New Roman" w:hAnsi="Times New Roman" w:cs="Times New Roman"/>
          <w:sz w:val="24"/>
          <w:szCs w:val="24"/>
        </w:rPr>
        <w:t>BREEDING KENNEL: ___________________________________________________________________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935"/>
        <w:gridCol w:w="963"/>
        <w:gridCol w:w="1216"/>
        <w:gridCol w:w="845"/>
        <w:gridCol w:w="1974"/>
        <w:gridCol w:w="1987"/>
      </w:tblGrid>
      <w:tr w:rsidR="00D504B6" w:rsidRPr="00D504B6" w:rsidTr="006C2D22">
        <w:tc>
          <w:tcPr>
            <w:tcW w:w="567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6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Dog's</w:t>
            </w:r>
            <w:proofErr w:type="spellEnd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850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Cat.No</w:t>
            </w:r>
            <w:proofErr w:type="spellEnd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85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Father's</w:t>
            </w:r>
            <w:proofErr w:type="spellEnd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Mother's</w:t>
            </w:r>
            <w:proofErr w:type="spellEnd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</w:tr>
      <w:tr w:rsidR="00D504B6" w:rsidRPr="00D504B6" w:rsidTr="006C2D22">
        <w:tc>
          <w:tcPr>
            <w:tcW w:w="567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B6" w:rsidRPr="00D504B6" w:rsidTr="006C2D22">
        <w:tc>
          <w:tcPr>
            <w:tcW w:w="567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B6" w:rsidRPr="00D504B6" w:rsidTr="006C2D22">
        <w:tc>
          <w:tcPr>
            <w:tcW w:w="567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B6" w:rsidRPr="00D504B6" w:rsidTr="006C2D22">
        <w:tc>
          <w:tcPr>
            <w:tcW w:w="567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B6" w:rsidRPr="00D504B6" w:rsidTr="006C2D22">
        <w:tc>
          <w:tcPr>
            <w:tcW w:w="567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4B6" w:rsidRPr="00D504B6" w:rsidRDefault="00D504B6" w:rsidP="006C2D2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sz w:val="24"/>
          <w:szCs w:val="20"/>
        </w:rPr>
        <w:t xml:space="preserve">Note: In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columns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placement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grade,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results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are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recorded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on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of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show.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signing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below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I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certify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under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moral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material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responsibility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that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the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information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entered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is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0"/>
        </w:rPr>
        <w:t>correct</w:t>
      </w:r>
      <w:proofErr w:type="spellEnd"/>
      <w:r w:rsidRPr="00D504B6">
        <w:rPr>
          <w:rFonts w:ascii="Times New Roman" w:hAnsi="Times New Roman" w:cs="Times New Roman"/>
          <w:sz w:val="24"/>
          <w:szCs w:val="20"/>
        </w:rPr>
        <w:t>.</w:t>
      </w:r>
    </w:p>
    <w:p w:rsidR="00D504B6" w:rsidRPr="00D504B6" w:rsidRDefault="00D504B6" w:rsidP="00D5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D50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04B6">
        <w:rPr>
          <w:rFonts w:ascii="Times New Roman" w:hAnsi="Times New Roman" w:cs="Times New Roman"/>
          <w:sz w:val="24"/>
          <w:szCs w:val="24"/>
        </w:rPr>
        <w:t xml:space="preserve">In__________________, </w:t>
      </w:r>
      <w:proofErr w:type="spellStart"/>
      <w:r w:rsidRPr="00D504B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504B6">
        <w:rPr>
          <w:rFonts w:ascii="Times New Roman" w:hAnsi="Times New Roman" w:cs="Times New Roman"/>
          <w:sz w:val="24"/>
          <w:szCs w:val="24"/>
        </w:rPr>
        <w:t xml:space="preserve">_______________.                     _______________________   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504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D504B6">
        <w:rPr>
          <w:rFonts w:ascii="Times New Roman" w:hAnsi="Times New Roman" w:cs="Times New Roman"/>
          <w:sz w:val="24"/>
          <w:szCs w:val="24"/>
        </w:rPr>
        <w:t>Owner's</w:t>
      </w:r>
      <w:proofErr w:type="spellEnd"/>
      <w:r w:rsidRPr="00D504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04B6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D50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4B6">
        <w:rPr>
          <w:rFonts w:ascii="Times New Roman" w:hAnsi="Times New Roman" w:cs="Times New Roman"/>
          <w:sz w:val="24"/>
          <w:szCs w:val="24"/>
        </w:rPr>
        <w:t>Kennel</w:t>
      </w:r>
      <w:proofErr w:type="spellEnd"/>
      <w:r w:rsidRPr="00D504B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4B6" w:rsidRPr="00D504B6" w:rsidRDefault="00D504B6" w:rsidP="00D504B6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504B6">
        <w:rPr>
          <w:rFonts w:ascii="Times New Roman" w:hAnsi="Times New Roman" w:cs="Times New Roman"/>
          <w:sz w:val="24"/>
          <w:szCs w:val="24"/>
        </w:rPr>
        <w:t>Signature</w:t>
      </w: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04B6" w:rsidRPr="00D504B6" w:rsidRDefault="00D504B6" w:rsidP="00D504B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504B6" w:rsidRPr="00D504B6" w:rsidSect="00B4673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E70"/>
    <w:multiLevelType w:val="hybridMultilevel"/>
    <w:tmpl w:val="6302A3D6"/>
    <w:lvl w:ilvl="0" w:tplc="29F881CE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Courier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Courier New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Courier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Courier New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Courier" w:hint="default"/>
      </w:rPr>
    </w:lvl>
  </w:abstractNum>
  <w:abstractNum w:abstractNumId="1" w15:restartNumberingAfterBreak="0">
    <w:nsid w:val="484A0680"/>
    <w:multiLevelType w:val="hybridMultilevel"/>
    <w:tmpl w:val="E0B2A8A2"/>
    <w:lvl w:ilvl="0" w:tplc="AB7ADA3C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D444D"/>
    <w:multiLevelType w:val="hybridMultilevel"/>
    <w:tmpl w:val="6096BF2C"/>
    <w:lvl w:ilvl="0" w:tplc="929CD60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0" w:hanging="360"/>
      </w:pPr>
    </w:lvl>
    <w:lvl w:ilvl="2" w:tplc="041A001B">
      <w:start w:val="1"/>
      <w:numFmt w:val="lowerRoman"/>
      <w:lvlText w:val="%3."/>
      <w:lvlJc w:val="right"/>
      <w:pPr>
        <w:ind w:left="2430" w:hanging="180"/>
      </w:pPr>
    </w:lvl>
    <w:lvl w:ilvl="3" w:tplc="041A000F">
      <w:start w:val="1"/>
      <w:numFmt w:val="decimal"/>
      <w:lvlText w:val="%4."/>
      <w:lvlJc w:val="left"/>
      <w:pPr>
        <w:ind w:left="3150" w:hanging="360"/>
      </w:pPr>
    </w:lvl>
    <w:lvl w:ilvl="4" w:tplc="041A0019">
      <w:start w:val="1"/>
      <w:numFmt w:val="lowerLetter"/>
      <w:lvlText w:val="%5."/>
      <w:lvlJc w:val="left"/>
      <w:pPr>
        <w:ind w:left="3870" w:hanging="360"/>
      </w:pPr>
    </w:lvl>
    <w:lvl w:ilvl="5" w:tplc="041A001B">
      <w:start w:val="1"/>
      <w:numFmt w:val="lowerRoman"/>
      <w:lvlText w:val="%6."/>
      <w:lvlJc w:val="right"/>
      <w:pPr>
        <w:ind w:left="4590" w:hanging="180"/>
      </w:pPr>
    </w:lvl>
    <w:lvl w:ilvl="6" w:tplc="041A000F">
      <w:start w:val="1"/>
      <w:numFmt w:val="decimal"/>
      <w:lvlText w:val="%7."/>
      <w:lvlJc w:val="left"/>
      <w:pPr>
        <w:ind w:left="5310" w:hanging="360"/>
      </w:pPr>
    </w:lvl>
    <w:lvl w:ilvl="7" w:tplc="041A0019">
      <w:start w:val="1"/>
      <w:numFmt w:val="lowerLetter"/>
      <w:lvlText w:val="%8."/>
      <w:lvlJc w:val="left"/>
      <w:pPr>
        <w:ind w:left="6030" w:hanging="360"/>
      </w:pPr>
    </w:lvl>
    <w:lvl w:ilvl="8" w:tplc="041A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C4E6664"/>
    <w:multiLevelType w:val="hybridMultilevel"/>
    <w:tmpl w:val="5DE2165A"/>
    <w:lvl w:ilvl="0" w:tplc="021A20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0B8FB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B6"/>
    <w:rsid w:val="0006442E"/>
    <w:rsid w:val="00096277"/>
    <w:rsid w:val="00120D6A"/>
    <w:rsid w:val="00177E9E"/>
    <w:rsid w:val="00302397"/>
    <w:rsid w:val="003176D6"/>
    <w:rsid w:val="00343F77"/>
    <w:rsid w:val="003470ED"/>
    <w:rsid w:val="00383A09"/>
    <w:rsid w:val="00394568"/>
    <w:rsid w:val="00461178"/>
    <w:rsid w:val="004930BF"/>
    <w:rsid w:val="00575D29"/>
    <w:rsid w:val="00581C04"/>
    <w:rsid w:val="00621012"/>
    <w:rsid w:val="0064243A"/>
    <w:rsid w:val="006E0034"/>
    <w:rsid w:val="00700ADA"/>
    <w:rsid w:val="00726276"/>
    <w:rsid w:val="00822550"/>
    <w:rsid w:val="009328E9"/>
    <w:rsid w:val="00A53B29"/>
    <w:rsid w:val="00A82C8B"/>
    <w:rsid w:val="00A909D4"/>
    <w:rsid w:val="00AB43C9"/>
    <w:rsid w:val="00AD2671"/>
    <w:rsid w:val="00B111B7"/>
    <w:rsid w:val="00B117AF"/>
    <w:rsid w:val="00BF62E0"/>
    <w:rsid w:val="00CB3690"/>
    <w:rsid w:val="00CF3E2C"/>
    <w:rsid w:val="00D504B6"/>
    <w:rsid w:val="00E3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0477"/>
  <w15:docId w15:val="{D04DCCC8-B2CB-4B0E-A1B3-DCA1B06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B6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D5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D504B6"/>
    <w:pPr>
      <w:spacing w:after="0" w:line="240" w:lineRule="auto"/>
    </w:pPr>
    <w:rPr>
      <w:rFonts w:ascii="Tahoma" w:hAnsi="Tahoma" w:cs="Tahoma"/>
      <w:color w:val="000066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4B6"/>
    <w:rPr>
      <w:rFonts w:ascii="Tahoma" w:eastAsia="Calibri" w:hAnsi="Tahoma" w:cs="Tahoma"/>
      <w:color w:val="000066"/>
      <w:sz w:val="16"/>
      <w:szCs w:val="16"/>
      <w:lang w:eastAsia="hr-HR"/>
    </w:rPr>
  </w:style>
  <w:style w:type="character" w:customStyle="1" w:styleId="BalloonTextChar">
    <w:name w:val="Balloon Text Char"/>
    <w:uiPriority w:val="99"/>
    <w:semiHidden/>
    <w:locked/>
    <w:rsid w:val="00D504B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D504B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504B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504B6"/>
    <w:rPr>
      <w:rFonts w:ascii="Calibri" w:eastAsia="Calibri" w:hAnsi="Calibri" w:cs="Calibri"/>
      <w:i/>
      <w:iCs/>
      <w:color w:val="4F81BD"/>
    </w:rPr>
  </w:style>
  <w:style w:type="paragraph" w:styleId="Bezproreda">
    <w:name w:val="No Spacing"/>
    <w:uiPriority w:val="1"/>
    <w:qFormat/>
    <w:rsid w:val="00D504B6"/>
    <w:pPr>
      <w:spacing w:after="0" w:line="240" w:lineRule="auto"/>
    </w:pPr>
    <w:rPr>
      <w:rFonts w:ascii="Calibri" w:eastAsia="Calibri" w:hAnsi="Calibri" w:cs="Calibri"/>
    </w:rPr>
  </w:style>
  <w:style w:type="paragraph" w:styleId="HTMLunaprijedoblikovano">
    <w:name w:val="HTML Preformatted"/>
    <w:basedOn w:val="Normal"/>
    <w:link w:val="HTMLunaprijedoblikovanoChar"/>
    <w:uiPriority w:val="99"/>
    <w:rsid w:val="00D50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D504B6"/>
    <w:rPr>
      <w:rFonts w:ascii="Courier" w:eastAsia="Calibri" w:hAnsi="Courier" w:cs="Courier"/>
      <w:sz w:val="20"/>
      <w:szCs w:val="20"/>
      <w:lang w:val="en-GB"/>
    </w:rPr>
  </w:style>
  <w:style w:type="character" w:customStyle="1" w:styleId="st">
    <w:name w:val="st"/>
    <w:basedOn w:val="Zadanifontodlomka"/>
    <w:rsid w:val="00D504B6"/>
  </w:style>
  <w:style w:type="character" w:styleId="Istaknuto">
    <w:name w:val="Emphasis"/>
    <w:basedOn w:val="Zadanifontodlomka"/>
    <w:uiPriority w:val="20"/>
    <w:rsid w:val="00D504B6"/>
    <w:rPr>
      <w:i/>
    </w:rPr>
  </w:style>
  <w:style w:type="character" w:styleId="Hiperveza">
    <w:name w:val="Hyperlink"/>
    <w:basedOn w:val="Zadanifontodlomka"/>
    <w:uiPriority w:val="99"/>
    <w:unhideWhenUsed/>
    <w:rsid w:val="006E0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aeferhunde.de/fileadmin/SV/Documents/Broschueren/vrz_zba_603_anerkannte_Befunde.pdf" TargetMode="External"/><Relationship Id="rId5" Type="http://schemas.openxmlformats.org/officeDocument/2006/relationships/hyperlink" Target="https://www.schaeferhunde.de/service/formulare-info-broschueren-verzeichnisse/verzeichnis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Živko Slijepčević</dc:creator>
  <cp:lastModifiedBy>Miroslav Kuzmić</cp:lastModifiedBy>
  <cp:revision>2</cp:revision>
  <dcterms:created xsi:type="dcterms:W3CDTF">2019-05-24T12:26:00Z</dcterms:created>
  <dcterms:modified xsi:type="dcterms:W3CDTF">2019-05-24T12:26:00Z</dcterms:modified>
</cp:coreProperties>
</file>